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0" w:lineRule="atLeast"/>
        <w:jc w:val="center"/>
        <w:rPr>
          <w:rFonts w:ascii="方正大标宋简体" w:hAnsi="方正大标宋简体" w:eastAsia="方正大标宋简体" w:cs="宋体"/>
          <w:color w:val="FF0000"/>
          <w:spacing w:val="-20"/>
          <w:w w:val="39"/>
          <w:kern w:val="0"/>
          <w:sz w:val="126"/>
          <w:szCs w:val="126"/>
        </w:rPr>
      </w:pPr>
      <w:r>
        <w:rPr>
          <w:rFonts w:hint="eastAsia" w:ascii="方正大标宋简体" w:hAnsi="方正大标宋简体" w:eastAsia="方正大标宋简体" w:cs="宋体"/>
          <w:color w:val="FF0000"/>
          <w:spacing w:val="-20"/>
          <w:w w:val="39"/>
          <w:kern w:val="0"/>
          <w:sz w:val="126"/>
          <w:szCs w:val="126"/>
        </w:rPr>
        <w:t>山东省中国</w:t>
      </w:r>
      <w:r>
        <w:rPr>
          <w:rFonts w:ascii="方正大标宋简体" w:hAnsi="方正大标宋简体" w:eastAsia="方正大标宋简体" w:cs="宋体"/>
          <w:color w:val="FF0000"/>
          <w:spacing w:val="-20"/>
          <w:w w:val="39"/>
          <w:kern w:val="0"/>
          <w:sz w:val="126"/>
          <w:szCs w:val="126"/>
        </w:rPr>
        <w:t>石油大学</w:t>
      </w:r>
      <w:r>
        <w:rPr>
          <w:rFonts w:hint="eastAsia" w:ascii="方正大标宋简体" w:hAnsi="方正大标宋简体" w:eastAsia="方正大标宋简体" w:cs="宋体"/>
          <w:color w:val="FF0000"/>
          <w:spacing w:val="-20"/>
          <w:w w:val="39"/>
          <w:kern w:val="0"/>
          <w:sz w:val="126"/>
          <w:szCs w:val="126"/>
        </w:rPr>
        <w:t>教育发展基金</w:t>
      </w:r>
      <w:r>
        <w:rPr>
          <w:rFonts w:ascii="方正大标宋简体" w:hAnsi="方正大标宋简体" w:eastAsia="方正大标宋简体" w:cs="宋体"/>
          <w:color w:val="FF0000"/>
          <w:spacing w:val="-20"/>
          <w:w w:val="39"/>
          <w:kern w:val="0"/>
          <w:sz w:val="126"/>
          <w:szCs w:val="126"/>
        </w:rPr>
        <w:t>会</w:t>
      </w:r>
      <w:r>
        <w:rPr>
          <w:rFonts w:hint="eastAsia" w:ascii="方正大标宋简体" w:hAnsi="方正大标宋简体" w:eastAsia="方正大标宋简体" w:cs="宋体"/>
          <w:color w:val="FF0000"/>
          <w:spacing w:val="-20"/>
          <w:w w:val="39"/>
          <w:kern w:val="0"/>
          <w:sz w:val="126"/>
          <w:szCs w:val="126"/>
        </w:rPr>
        <w:t>文件</w:t>
      </w:r>
    </w:p>
    <w:p>
      <w:pPr>
        <w:widowControl/>
        <w:spacing w:line="0" w:lineRule="atLeast"/>
        <w:jc w:val="center"/>
        <w:rPr>
          <w:w w:val="66"/>
        </w:rPr>
      </w:pPr>
      <w:r>
        <w:rPr>
          <w:rFonts w:hint="eastAsia" w:ascii="方正大标宋简体" w:hAnsi="方正大标宋简体" w:eastAsia="方正大标宋简体" w:cs="宋体"/>
          <w:color w:val="FF0000"/>
          <w:kern w:val="0"/>
          <w:sz w:val="86"/>
          <w:szCs w:val="86"/>
          <w:u w:val="thick"/>
        </w:rPr>
        <mc:AlternateContent>
          <mc:Choice Requires="wps">
            <w:drawing>
              <wp:anchor distT="0" distB="0" distL="114300" distR="114300" simplePos="0" relativeHeight="251659264" behindDoc="0" locked="0" layoutInCell="1" allowOverlap="1">
                <wp:simplePos x="0" y="0"/>
                <wp:positionH relativeFrom="column">
                  <wp:posOffset>-128270</wp:posOffset>
                </wp:positionH>
                <wp:positionV relativeFrom="paragraph">
                  <wp:posOffset>9525</wp:posOffset>
                </wp:positionV>
                <wp:extent cx="5762625" cy="28575"/>
                <wp:effectExtent l="0" t="15875" r="13335" b="1651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V="1">
                          <a:off x="0" y="0"/>
                          <a:ext cx="5762625" cy="28575"/>
                        </a:xfrm>
                        <a:prstGeom prst="line">
                          <a:avLst/>
                        </a:prstGeom>
                        <a:noFill/>
                        <a:ln w="31750">
                          <a:solidFill>
                            <a:srgbClr val="FF0000"/>
                          </a:solidFill>
                          <a:round/>
                        </a:ln>
                      </wps:spPr>
                      <wps:bodyPr/>
                    </wps:wsp>
                  </a:graphicData>
                </a:graphic>
              </wp:anchor>
            </w:drawing>
          </mc:Choice>
          <mc:Fallback>
            <w:pict>
              <v:line id="_x0000_s1026" o:spid="_x0000_s1026" o:spt="20" style="position:absolute;left:0pt;flip:y;margin-left:-10.1pt;margin-top:0.75pt;height:2.25pt;width:453.75pt;z-index:251659264;mso-width-relative:page;mso-height-relative:page;" filled="f" stroked="t" coordsize="21600,21600" o:gfxdata="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N4T8dUAAAAHAQAADwAAAAAAAAABACAAAAAiAAAAZHJzL2Rvd25yZXYueG1sUEsBAhQAFAAA&#10;AAgAh07iQI6+qBzyAQAAuQMAAA4AAAAAAAAAAQAgAAAAJAEAAGRycy9lMm9Eb2MueG1sUEsFBgAA&#10;AAAGAAYAWQEAAIgFAAAAAA==&#10;">
                <v:fill on="f" focussize="0,0"/>
                <v:stroke weight="2.5pt" color="#FF0000" joinstyle="round"/>
                <v:imagedata o:title=""/>
                <o:lock v:ext="edit" aspectratio="f"/>
              </v:line>
            </w:pict>
          </mc:Fallback>
        </mc:AlternateContent>
      </w:r>
    </w:p>
    <w:p>
      <w:pPr>
        <w:jc w:val="center"/>
        <w:rPr>
          <w:rFonts w:hint="eastAsia" w:ascii="方正公文小标宋" w:hAnsi="方正公文小标宋" w:eastAsia="方正公文小标宋" w:cs="方正公文小标宋"/>
          <w:b w:val="0"/>
          <w:bCs/>
          <w:sz w:val="36"/>
          <w:szCs w:val="36"/>
        </w:rPr>
      </w:pPr>
      <w:r>
        <w:rPr>
          <w:rFonts w:hint="eastAsia" w:ascii="方正公文小标宋" w:hAnsi="方正公文小标宋" w:eastAsia="方正公文小标宋" w:cs="方正公文小标宋"/>
          <w:b w:val="0"/>
          <w:bCs/>
          <w:sz w:val="36"/>
          <w:szCs w:val="36"/>
        </w:rPr>
        <w:t>“紫薇郎·精科霞峰”助学金实施细则</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为帮助家境困难学生顺利完成学业，激励学生勤奋学习，江苏精科霞峰环保科技公司在中国石油大学（华东）继续设立“紫薇郎·精科霞峰”助学金。为保证助学金评选工作的规范化、科学化，特制定本实施细则，本实施细则作为捐赠协议的附件，同样具有法律效力。</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助学金总额为人民币6万元/年。企业可根据实际情况，每年支付6万元，或者每两年支付12万元。</w:t>
      </w:r>
    </w:p>
    <w:p>
      <w:pPr>
        <w:ind w:firstLine="643" w:firstLineChars="200"/>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lang w:val="en-US" w:eastAsia="zh-CN"/>
        </w:rPr>
        <w:t>一、</w:t>
      </w:r>
      <w:r>
        <w:rPr>
          <w:rFonts w:hint="eastAsia" w:ascii="仿宋_GB2312" w:hAnsi="宋体" w:eastAsia="仿宋_GB2312" w:cs="宋体"/>
          <w:b/>
          <w:bCs/>
          <w:kern w:val="0"/>
          <w:sz w:val="32"/>
          <w:szCs w:val="32"/>
        </w:rPr>
        <w:t>资助对象</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全日制本科生中品学兼优的家庭经济困难学生。</w:t>
      </w:r>
    </w:p>
    <w:p>
      <w:pPr>
        <w:ind w:firstLine="643" w:firstLineChars="200"/>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lang w:val="en-US" w:eastAsia="zh-CN"/>
        </w:rPr>
        <w:t>二、</w:t>
      </w:r>
      <w:r>
        <w:rPr>
          <w:rFonts w:hint="eastAsia" w:ascii="仿宋_GB2312" w:hAnsi="宋体" w:eastAsia="仿宋_GB2312" w:cs="宋体"/>
          <w:b/>
          <w:bCs/>
          <w:kern w:val="0"/>
          <w:sz w:val="32"/>
          <w:szCs w:val="32"/>
        </w:rPr>
        <w:t>资助人数和标准</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资助学生20名，每人每年资助金额为3000元。</w:t>
      </w:r>
    </w:p>
    <w:p>
      <w:pPr>
        <w:ind w:firstLine="643" w:firstLineChars="200"/>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lang w:val="en-US" w:eastAsia="zh-CN"/>
        </w:rPr>
        <w:t>三、</w:t>
      </w:r>
      <w:r>
        <w:rPr>
          <w:rFonts w:hint="eastAsia" w:ascii="仿宋_GB2312" w:hAnsi="宋体" w:eastAsia="仿宋_GB2312" w:cs="宋体"/>
          <w:b/>
          <w:bCs/>
          <w:kern w:val="0"/>
          <w:sz w:val="32"/>
          <w:szCs w:val="32"/>
        </w:rPr>
        <w:t>资助对象的评选标准</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热爱社会主义祖国，拥护中国共产党的领导；</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遵守宪法和法律，遵守学校规章制度；</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诚实守信，道德品质优良；</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家庭经济困难，生活俭朴，勇于克服困难，立志成才；</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学习态度端正，勤奋努力，刻苦钻研。</w:t>
      </w:r>
    </w:p>
    <w:p>
      <w:pPr>
        <w:ind w:firstLine="643" w:firstLineChars="200"/>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lang w:val="en-US" w:eastAsia="zh-CN"/>
        </w:rPr>
        <w:t>四、</w:t>
      </w:r>
      <w:r>
        <w:rPr>
          <w:rFonts w:hint="eastAsia" w:ascii="仿宋_GB2312" w:hAnsi="宋体" w:eastAsia="仿宋_GB2312" w:cs="宋体"/>
          <w:b/>
          <w:bCs/>
          <w:kern w:val="0"/>
          <w:sz w:val="32"/>
          <w:szCs w:val="32"/>
        </w:rPr>
        <w:t>组织实施</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中国石油大学（华东）教育基金管理委员会办公室9月底下达评选指标并向各相关学院下发评选通知。</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各学院根据申请，按照标准进行初步筛选和推荐。10月下旬，各学院将《紫薇郎·精科霞峰助学金申请表》报党委</w:t>
      </w:r>
      <w:bookmarkStart w:id="0" w:name="_GoBack"/>
      <w:bookmarkEnd w:id="0"/>
      <w:r>
        <w:rPr>
          <w:rFonts w:hint="eastAsia" w:ascii="仿宋_GB2312" w:hAnsi="宋体" w:eastAsia="仿宋_GB2312" w:cs="宋体"/>
          <w:kern w:val="0"/>
          <w:sz w:val="32"/>
          <w:szCs w:val="32"/>
        </w:rPr>
        <w:t>学生工作部（</w:t>
      </w:r>
      <w:r>
        <w:rPr>
          <w:rFonts w:hint="eastAsia" w:ascii="仿宋_GB2312" w:hAnsi="宋体" w:eastAsia="仿宋_GB2312" w:cs="宋体"/>
          <w:kern w:val="0"/>
          <w:sz w:val="32"/>
          <w:szCs w:val="32"/>
          <w:lang w:val="en-US" w:eastAsia="zh-CN"/>
        </w:rPr>
        <w:t>武装部</w:t>
      </w:r>
      <w:r>
        <w:rPr>
          <w:rFonts w:hint="eastAsia" w:ascii="仿宋_GB2312" w:hAnsi="宋体" w:eastAsia="仿宋_GB2312" w:cs="宋体"/>
          <w:kern w:val="0"/>
          <w:sz w:val="32"/>
          <w:szCs w:val="32"/>
        </w:rPr>
        <w:t>）。</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中国石油大学（华东）教育基金管理委员会办公室在11月底完成评审工作，并将评审结果上报中国石油大学（华东）教育基金管理委员会审定，审定后的结果反馈给山东省石油大学教育发展基金会和江苏精科霞峰环保科技公司。</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本实施细则由山东省中国石油大学教育发展基金会负责解释和修订。</w:t>
      </w:r>
    </w:p>
    <w:p>
      <w:pPr>
        <w:rPr>
          <w:rFonts w:ascii="仿宋" w:hAnsi="仿宋" w:eastAsia="仿宋" w:cs="宋体"/>
          <w:color w:val="000000"/>
          <w:kern w:val="0"/>
          <w:sz w:val="28"/>
          <w:szCs w:val="28"/>
        </w:rPr>
      </w:pPr>
    </w:p>
    <w:p>
      <w:pPr>
        <w:rPr>
          <w:rFonts w:ascii="仿宋" w:hAnsi="仿宋" w:eastAsia="仿宋" w:cs="宋体"/>
          <w:color w:val="000000"/>
          <w:kern w:val="0"/>
          <w:sz w:val="28"/>
          <w:szCs w:val="28"/>
        </w:rPr>
      </w:pPr>
    </w:p>
    <w:p>
      <w:pPr>
        <w:jc w:val="right"/>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山东省中国石油大学教育发展基金会</w:t>
      </w:r>
    </w:p>
    <w:p>
      <w:pPr>
        <w:ind w:right="964"/>
        <w:jc w:val="righ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kern w:val="0"/>
          <w:sz w:val="32"/>
          <w:szCs w:val="32"/>
        </w:rPr>
        <w:t>2019年6月17日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script"/>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1" w:fontKey="{70F69B0F-2293-46AC-BBEF-55D964EFC9D5}"/>
  </w:font>
  <w:font w:name="仿宋_GB2312">
    <w:panose1 w:val="02010609030101010101"/>
    <w:charset w:val="86"/>
    <w:family w:val="modern"/>
    <w:pitch w:val="default"/>
    <w:sig w:usb0="00000001" w:usb1="080E0000" w:usb2="00000000" w:usb3="00000000" w:csb0="00040000" w:csb1="00000000"/>
    <w:embedRegular r:id="rId2" w:fontKey="{ECB0C7F8-D641-4CD5-B218-87594B8323A0}"/>
  </w:font>
  <w:font w:name="仿宋">
    <w:panose1 w:val="02010609060101010101"/>
    <w:charset w:val="86"/>
    <w:family w:val="modern"/>
    <w:pitch w:val="default"/>
    <w:sig w:usb0="800002BF" w:usb1="38CF7CFA" w:usb2="00000016" w:usb3="00000000" w:csb0="00040001" w:csb1="00000000"/>
    <w:embedRegular r:id="rId3" w:fontKey="{49DA4F52-B3E8-471D-9305-27FA594ACDE1}"/>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ZTY1YjlhY2UzYWNjNDMzN2U5NjcxNzI2ZGI3YTMifQ=="/>
  </w:docVars>
  <w:rsids>
    <w:rsidRoot w:val="00BE6776"/>
    <w:rsid w:val="00000E17"/>
    <w:rsid w:val="00026F61"/>
    <w:rsid w:val="0004121A"/>
    <w:rsid w:val="00063A21"/>
    <w:rsid w:val="00080560"/>
    <w:rsid w:val="000821A3"/>
    <w:rsid w:val="00094B45"/>
    <w:rsid w:val="000D5963"/>
    <w:rsid w:val="000E4737"/>
    <w:rsid w:val="000F3505"/>
    <w:rsid w:val="00125301"/>
    <w:rsid w:val="00126A19"/>
    <w:rsid w:val="001328AE"/>
    <w:rsid w:val="00144633"/>
    <w:rsid w:val="0016533D"/>
    <w:rsid w:val="00173CC3"/>
    <w:rsid w:val="001C06D4"/>
    <w:rsid w:val="001D3DBA"/>
    <w:rsid w:val="001E52AB"/>
    <w:rsid w:val="001E6E87"/>
    <w:rsid w:val="002021BC"/>
    <w:rsid w:val="002100C9"/>
    <w:rsid w:val="0021519D"/>
    <w:rsid w:val="00217D86"/>
    <w:rsid w:val="00236BD1"/>
    <w:rsid w:val="00260218"/>
    <w:rsid w:val="002818C1"/>
    <w:rsid w:val="002A2871"/>
    <w:rsid w:val="002B2D2C"/>
    <w:rsid w:val="002D7025"/>
    <w:rsid w:val="003054A9"/>
    <w:rsid w:val="00322B88"/>
    <w:rsid w:val="00333902"/>
    <w:rsid w:val="00370FFC"/>
    <w:rsid w:val="00375188"/>
    <w:rsid w:val="0038696F"/>
    <w:rsid w:val="003B61A2"/>
    <w:rsid w:val="00424E9A"/>
    <w:rsid w:val="0044451A"/>
    <w:rsid w:val="00455269"/>
    <w:rsid w:val="00457F08"/>
    <w:rsid w:val="004679B4"/>
    <w:rsid w:val="004C01C9"/>
    <w:rsid w:val="00512230"/>
    <w:rsid w:val="005223A2"/>
    <w:rsid w:val="00534B3C"/>
    <w:rsid w:val="00542FDD"/>
    <w:rsid w:val="0056035E"/>
    <w:rsid w:val="00593148"/>
    <w:rsid w:val="005A05F0"/>
    <w:rsid w:val="005A4F59"/>
    <w:rsid w:val="005D6153"/>
    <w:rsid w:val="005E6550"/>
    <w:rsid w:val="00622756"/>
    <w:rsid w:val="00654C3D"/>
    <w:rsid w:val="00660478"/>
    <w:rsid w:val="006670F0"/>
    <w:rsid w:val="00676458"/>
    <w:rsid w:val="006904D8"/>
    <w:rsid w:val="00695308"/>
    <w:rsid w:val="006A169E"/>
    <w:rsid w:val="006A6303"/>
    <w:rsid w:val="006B1941"/>
    <w:rsid w:val="006B3A6A"/>
    <w:rsid w:val="006B40CF"/>
    <w:rsid w:val="006C3F32"/>
    <w:rsid w:val="006D3B2F"/>
    <w:rsid w:val="006D4225"/>
    <w:rsid w:val="00700031"/>
    <w:rsid w:val="00770B46"/>
    <w:rsid w:val="00794ECC"/>
    <w:rsid w:val="007C23D4"/>
    <w:rsid w:val="007E2F95"/>
    <w:rsid w:val="008034AA"/>
    <w:rsid w:val="0081668D"/>
    <w:rsid w:val="00826752"/>
    <w:rsid w:val="00831F48"/>
    <w:rsid w:val="008351C0"/>
    <w:rsid w:val="0084446A"/>
    <w:rsid w:val="008602B5"/>
    <w:rsid w:val="008A476F"/>
    <w:rsid w:val="008B0A84"/>
    <w:rsid w:val="008B14DE"/>
    <w:rsid w:val="0090222F"/>
    <w:rsid w:val="00906AED"/>
    <w:rsid w:val="00922015"/>
    <w:rsid w:val="009230F4"/>
    <w:rsid w:val="00923F71"/>
    <w:rsid w:val="009448C2"/>
    <w:rsid w:val="009912DB"/>
    <w:rsid w:val="009B7F5C"/>
    <w:rsid w:val="009C5119"/>
    <w:rsid w:val="009E627A"/>
    <w:rsid w:val="00A116D0"/>
    <w:rsid w:val="00A24BE3"/>
    <w:rsid w:val="00A3098A"/>
    <w:rsid w:val="00A31795"/>
    <w:rsid w:val="00A702FC"/>
    <w:rsid w:val="00A77074"/>
    <w:rsid w:val="00A80BED"/>
    <w:rsid w:val="00AB6E3C"/>
    <w:rsid w:val="00AD3D0D"/>
    <w:rsid w:val="00AE6AA8"/>
    <w:rsid w:val="00B00CD8"/>
    <w:rsid w:val="00B04C6A"/>
    <w:rsid w:val="00B11269"/>
    <w:rsid w:val="00B169A3"/>
    <w:rsid w:val="00B25A5D"/>
    <w:rsid w:val="00BA4E64"/>
    <w:rsid w:val="00BA659C"/>
    <w:rsid w:val="00BE6776"/>
    <w:rsid w:val="00BF4D70"/>
    <w:rsid w:val="00C2099A"/>
    <w:rsid w:val="00C241EE"/>
    <w:rsid w:val="00C322FD"/>
    <w:rsid w:val="00C36C29"/>
    <w:rsid w:val="00C45CDB"/>
    <w:rsid w:val="00C63BAA"/>
    <w:rsid w:val="00C8203B"/>
    <w:rsid w:val="00C8623A"/>
    <w:rsid w:val="00CA07D5"/>
    <w:rsid w:val="00CB513C"/>
    <w:rsid w:val="00CC0E81"/>
    <w:rsid w:val="00CD5005"/>
    <w:rsid w:val="00D37697"/>
    <w:rsid w:val="00D52A3E"/>
    <w:rsid w:val="00D53018"/>
    <w:rsid w:val="00D64459"/>
    <w:rsid w:val="00D70006"/>
    <w:rsid w:val="00D75607"/>
    <w:rsid w:val="00DA5420"/>
    <w:rsid w:val="00DB70EB"/>
    <w:rsid w:val="00DE3821"/>
    <w:rsid w:val="00E018F3"/>
    <w:rsid w:val="00E02785"/>
    <w:rsid w:val="00E028A6"/>
    <w:rsid w:val="00E07205"/>
    <w:rsid w:val="00E13A06"/>
    <w:rsid w:val="00E16C17"/>
    <w:rsid w:val="00E45637"/>
    <w:rsid w:val="00E51D06"/>
    <w:rsid w:val="00E65A84"/>
    <w:rsid w:val="00E97E6B"/>
    <w:rsid w:val="00EC056D"/>
    <w:rsid w:val="00ED183F"/>
    <w:rsid w:val="00ED4333"/>
    <w:rsid w:val="00F37FBE"/>
    <w:rsid w:val="00F450A9"/>
    <w:rsid w:val="00F46930"/>
    <w:rsid w:val="00F47976"/>
    <w:rsid w:val="00F631DD"/>
    <w:rsid w:val="00F65547"/>
    <w:rsid w:val="00F729AF"/>
    <w:rsid w:val="00F74422"/>
    <w:rsid w:val="00FC2E14"/>
    <w:rsid w:val="00FC5BA5"/>
    <w:rsid w:val="00FD78C1"/>
    <w:rsid w:val="00FE21DE"/>
    <w:rsid w:val="428D18C5"/>
    <w:rsid w:val="4ABA65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qFormat/>
    <w:uiPriority w:val="99"/>
    <w:pPr>
      <w:jc w:val="left"/>
    </w:pPr>
  </w:style>
  <w:style w:type="paragraph" w:styleId="3">
    <w:name w:val="Date"/>
    <w:basedOn w:val="1"/>
    <w:next w:val="1"/>
    <w:link w:val="11"/>
    <w:semiHidden/>
    <w:uiPriority w:val="99"/>
    <w:pPr>
      <w:ind w:left="100" w:leftChars="2500"/>
    </w:pPr>
  </w:style>
  <w:style w:type="paragraph" w:styleId="4">
    <w:name w:val="Balloon Text"/>
    <w:basedOn w:val="1"/>
    <w:link w:val="17"/>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semiHidden/>
    <w:qFormat/>
    <w:uiPriority w:val="99"/>
    <w:rPr>
      <w:b/>
      <w:bCs/>
    </w:rPr>
  </w:style>
  <w:style w:type="character" w:styleId="10">
    <w:name w:val="annotation reference"/>
    <w:semiHidden/>
    <w:qFormat/>
    <w:uiPriority w:val="99"/>
    <w:rPr>
      <w:rFonts w:cs="Times New Roman"/>
      <w:sz w:val="21"/>
      <w:szCs w:val="21"/>
    </w:rPr>
  </w:style>
  <w:style w:type="character" w:customStyle="1" w:styleId="11">
    <w:name w:val="日期 Char"/>
    <w:link w:val="3"/>
    <w:semiHidden/>
    <w:locked/>
    <w:uiPriority w:val="99"/>
    <w:rPr>
      <w:rFonts w:ascii="Times New Roman" w:hAnsi="Times New Roman" w:eastAsia="宋体" w:cs="Times New Roman"/>
      <w:sz w:val="24"/>
      <w:szCs w:val="24"/>
    </w:rPr>
  </w:style>
  <w:style w:type="paragraph" w:styleId="12">
    <w:name w:val="List Paragraph"/>
    <w:basedOn w:val="1"/>
    <w:qFormat/>
    <w:uiPriority w:val="99"/>
    <w:pPr>
      <w:ind w:firstLine="420" w:firstLineChars="200"/>
    </w:pPr>
  </w:style>
  <w:style w:type="character" w:customStyle="1" w:styleId="13">
    <w:name w:val="页眉 Char"/>
    <w:link w:val="6"/>
    <w:semiHidden/>
    <w:qFormat/>
    <w:uiPriority w:val="99"/>
    <w:rPr>
      <w:rFonts w:ascii="Times New Roman" w:hAnsi="Times New Roman"/>
      <w:sz w:val="18"/>
      <w:szCs w:val="18"/>
    </w:rPr>
  </w:style>
  <w:style w:type="character" w:customStyle="1" w:styleId="14">
    <w:name w:val="页脚 Char"/>
    <w:link w:val="5"/>
    <w:semiHidden/>
    <w:qFormat/>
    <w:uiPriority w:val="99"/>
    <w:rPr>
      <w:rFonts w:ascii="Times New Roman" w:hAnsi="Times New Roman"/>
      <w:sz w:val="18"/>
      <w:szCs w:val="18"/>
    </w:rPr>
  </w:style>
  <w:style w:type="character" w:customStyle="1" w:styleId="15">
    <w:name w:val="批注文字 Char"/>
    <w:link w:val="2"/>
    <w:semiHidden/>
    <w:qFormat/>
    <w:uiPriority w:val="99"/>
    <w:rPr>
      <w:rFonts w:ascii="Times New Roman" w:hAnsi="Times New Roman"/>
      <w:szCs w:val="24"/>
    </w:rPr>
  </w:style>
  <w:style w:type="character" w:customStyle="1" w:styleId="16">
    <w:name w:val="批注主题 Char"/>
    <w:link w:val="7"/>
    <w:semiHidden/>
    <w:qFormat/>
    <w:uiPriority w:val="99"/>
    <w:rPr>
      <w:rFonts w:ascii="Times New Roman" w:hAnsi="Times New Roman"/>
      <w:b/>
      <w:bCs/>
      <w:szCs w:val="24"/>
    </w:rPr>
  </w:style>
  <w:style w:type="character" w:customStyle="1" w:styleId="17">
    <w:name w:val="批注框文本 Char"/>
    <w:link w:val="4"/>
    <w:semiHidden/>
    <w:qFormat/>
    <w:uiPriority w:val="99"/>
    <w:rPr>
      <w:rFonts w:ascii="Times New Roman" w:hAnsi="Times New Roman"/>
      <w:sz w:val="0"/>
      <w:szCs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101</Words>
  <Characters>576</Characters>
  <Lines>4</Lines>
  <Paragraphs>1</Paragraphs>
  <TotalTime>2</TotalTime>
  <ScaleCrop>false</ScaleCrop>
  <LinksUpToDate>false</LinksUpToDate>
  <CharactersWithSpaces>676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2019-05-24T03:34:00Z</dcterms:created>
  <dc:creator>微软用户</dc:creator>
  <cp:lastModifiedBy>Frog°</cp:lastModifiedBy>
  <cp:lastPrinted>2019-06-18T06:50:00Z</cp:lastPrinted>
  <dcterms:modified xsi:type="dcterms:W3CDTF">2022-11-04T02:10:14Z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906610ACBE8E4F73AEF7937E9D5605D5</vt:lpwstr>
  </property>
</Properties>
</file>